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7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7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в Закон Новосибирской области «</w:t>
      </w:r>
      <w:r>
        <w:rPr>
          <w:rFonts w:ascii="Times New Roman" w:hAnsi="Times New Roman"/>
          <w:b/>
          <w:sz w:val="28"/>
          <w:szCs w:val="28"/>
        </w:rPr>
        <w:t xml:space="preserve">Об отдельных вопросах регулирования земельных отношений на территории Новосибирской области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/>
      <w:bookmarkStart w:id="0" w:name="Par47"/>
      <w:r/>
      <w:bookmarkEnd w:id="0"/>
      <w:r/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Закон Новосибирской области от 5 декабря 2016 года № 112-ОЗ «Об отдельных вопросах регулирования земельных отношений на территории Новосибирской области» </w:t>
      </w:r>
      <w:r>
        <w:rPr>
          <w:rFonts w:ascii="Times New Roman" w:hAnsi="Times New Roman"/>
          <w:spacing w:val="-2"/>
          <w:sz w:val="28"/>
          <w:szCs w:val="28"/>
        </w:rPr>
        <w:t xml:space="preserve">(с изменениями, внесенными Законами Новосибирской области от 7 мая 2018 года № 260-ОЗ, от 2 о</w:t>
      </w:r>
      <w:r>
        <w:rPr>
          <w:rFonts w:ascii="Times New Roman" w:hAnsi="Times New Roman"/>
          <w:spacing w:val="-2"/>
          <w:sz w:val="28"/>
          <w:szCs w:val="28"/>
        </w:rPr>
        <w:t xml:space="preserve">ктября 2018 года № 289-ОЗ, от 30 ноября 2018 года № 307-ОЗ, от 1 июля 2019 года № 387-ОЗ, от 28 ноября 2019 года        № 433-ОЗ, от 20 декабря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2019 года № 449-ОЗ, от 31 марта 2020 года № 469-ОЗ, от 10 ноября 2020 года № 5-ОЗ, от 5 октября 2021 года № 112-</w:t>
      </w:r>
      <w:r>
        <w:rPr>
          <w:rFonts w:ascii="Times New Roman" w:hAnsi="Times New Roman"/>
          <w:spacing w:val="-2"/>
          <w:sz w:val="28"/>
          <w:szCs w:val="28"/>
        </w:rPr>
        <w:t xml:space="preserve">ОЗ, от 27 декабря 2021 года № 160-ОЗ, от 1 марта 2022 года № 178-ОЗ, от 29 ноября 2022 года № 279-ОЗ, от 16 декабря 2022 года № 296-ОЗ, от 13 июля 2023 года № 361-ОЗ, от 31 октября 2023 года № 387-ОЗ, от 5 июня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2024 года № 455-ОЗ, от 17 июня 2024 года № 46</w:t>
      </w:r>
      <w:r>
        <w:rPr>
          <w:rFonts w:ascii="Times New Roman" w:hAnsi="Times New Roman"/>
          <w:spacing w:val="-2"/>
          <w:sz w:val="28"/>
          <w:szCs w:val="28"/>
        </w:rPr>
        <w:t xml:space="preserve">0-ОЗ, от 3 октября 2024 года № 489-ОЗ, от 6 марта 2025 года № 562-ОЗ, от 3 февраля 2026 года № 48-ОЗ, от 26 февраля 2026 года № 63-ОЗ) </w:t>
      </w:r>
      <w:r>
        <w:rPr>
          <w:rFonts w:ascii="Times New Roman" w:hAnsi="Times New Roman"/>
          <w:sz w:val="28"/>
          <w:szCs w:val="28"/>
        </w:rPr>
        <w:t xml:space="preserve">следующие изменения: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статью 2</w:t>
      </w:r>
      <w:r>
        <w:rPr>
          <w:rFonts w:ascii="Times New Roman" w:hAnsi="Times New Roman" w:eastAsiaTheme="minorHAnsi"/>
          <w:sz w:val="28"/>
          <w:szCs w:val="28"/>
        </w:rPr>
        <w:t xml:space="preserve"> дополнить пунктом 6.1 следующего содержания:</w:t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«6.1) установление порядка принятия решения о реквизиции земельного участка у его собственника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  <w:lang w:eastAsia="ru-RU"/>
        </w:rPr>
        <w:t xml:space="preserve">;»</w:t>
      </w:r>
      <w:r>
        <w:rPr>
          <w:rFonts w:ascii="Times New Roman" w:hAnsi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в </w:t>
      </w:r>
      <w:r>
        <w:rPr>
          <w:rFonts w:ascii="Times New Roman" w:hAnsi="Times New Roman"/>
          <w:spacing w:val="-2"/>
          <w:sz w:val="28"/>
          <w:szCs w:val="28"/>
        </w:rPr>
        <w:t xml:space="preserve">статье 3:</w:t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а) дополнить пунктом 2.1 следующего содержания:</w:t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«2.1) осуществление полномочий по госу</w:t>
      </w:r>
      <w:r>
        <w:rPr>
          <w:rFonts w:ascii="Times New Roman" w:hAnsi="Times New Roman"/>
          <w:spacing w:val="-2"/>
          <w:sz w:val="28"/>
          <w:szCs w:val="28"/>
        </w:rPr>
        <w:t xml:space="preserve">дарственной кадастровой оценке объектов недвижимости 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 xml:space="preserve">Федеральным </w:t>
      </w:r>
      <w:hyperlink r:id="rId11" w:tooltip="https://login.consultant.ru/link/?req=doc&amp;base=LAW&amp;n=469787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от 29 июля 1998 года № 135-</w:t>
      </w:r>
      <w:r>
        <w:rPr>
          <w:rFonts w:ascii="Times New Roman" w:hAnsi="Times New Roman"/>
          <w:sz w:val="28"/>
          <w:szCs w:val="28"/>
          <w:lang w:eastAsia="ru-RU"/>
        </w:rPr>
        <w:t xml:space="preserve">ФЗ «Об оценочной деятельности в Российской Федерации» и </w:t>
      </w:r>
      <w:r>
        <w:rPr>
          <w:rFonts w:ascii="Times New Roman" w:hAnsi="Times New Roman"/>
          <w:spacing w:val="-2"/>
          <w:sz w:val="28"/>
          <w:szCs w:val="28"/>
        </w:rPr>
        <w:t xml:space="preserve">Федеральным законом от 3 июля 2016 года № 237-ФЗ «О государственной кадастровой оценке»</w:t>
      </w:r>
      <w:r>
        <w:rPr>
          <w:rFonts w:ascii="Times New Roman" w:hAnsi="Times New Roman"/>
          <w:spacing w:val="-2"/>
          <w:sz w:val="28"/>
          <w:szCs w:val="28"/>
        </w:rPr>
        <w:t xml:space="preserve">;</w:t>
      </w:r>
      <w:r>
        <w:rPr>
          <w:rFonts w:ascii="Times New Roman" w:hAnsi="Times New Roman"/>
          <w:spacing w:val="-2"/>
          <w:sz w:val="28"/>
          <w:szCs w:val="28"/>
        </w:rPr>
        <w:t xml:space="preserve">»</w:t>
      </w:r>
      <w:r>
        <w:rPr>
          <w:rFonts w:ascii="Times New Roman" w:hAnsi="Times New Roman"/>
          <w:spacing w:val="-2"/>
          <w:sz w:val="28"/>
          <w:szCs w:val="28"/>
        </w:rPr>
        <w:t xml:space="preserve">;</w:t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б) </w:t>
      </w:r>
      <w:r>
        <w:rPr>
          <w:rFonts w:ascii="Times New Roman" w:hAnsi="Times New Roman"/>
          <w:sz w:val="28"/>
          <w:szCs w:val="28"/>
          <w:lang w:eastAsia="ru-RU"/>
        </w:rPr>
        <w:t xml:space="preserve">дополнить пунктом 5.1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«5.1) принятие решения о реквизиции земельного участка у его со</w:t>
      </w:r>
      <w:r>
        <w:rPr>
          <w:rFonts w:ascii="Times New Roman" w:hAnsi="Times New Roman"/>
          <w:sz w:val="28"/>
          <w:szCs w:val="28"/>
          <w:lang w:eastAsia="ru-RU"/>
        </w:rPr>
        <w:t xml:space="preserve">бственника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  <w:lang w:eastAsia="ru-RU"/>
        </w:rPr>
        <w:t xml:space="preserve">;»</w:t>
      </w:r>
      <w:r>
        <w:rPr>
          <w:rFonts w:ascii="Times New Roman" w:hAnsi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в) дополнить пунктами 6.6 и 6.7 следующего содержания:</w:t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«6.6) заключение соглашения, не являющегося государственным контрактом, с публично-правовой компанией «Роскадастр», предусмотренно</w:t>
      </w:r>
      <w:r>
        <w:rPr>
          <w:rFonts w:ascii="Times New Roman" w:hAnsi="Times New Roman"/>
          <w:spacing w:val="-2"/>
          <w:sz w:val="28"/>
          <w:szCs w:val="28"/>
        </w:rPr>
        <w:t xml:space="preserve">го частью 6 статьи 4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от 30 декабря 2021 года № 448-ФЗ «О публично-правовой компании «Роскадастр»;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6.7) принятие решения об изменении вида разрешенного использования земельного участка сельскохозяйственного назначения, за исключением зем</w:t>
      </w:r>
      <w:r>
        <w:rPr>
          <w:rFonts w:ascii="Times New Roman" w:hAnsi="Times New Roman"/>
          <w:sz w:val="28"/>
          <w:szCs w:val="28"/>
          <w:lang w:eastAsia="ru-RU"/>
        </w:rPr>
        <w:t xml:space="preserve">ельных участков, указанных в </w:t>
      </w:r>
      <w:hyperlink r:id="rId12" w:tooltip="https://login.consultant.ru/link/?req=doc&amp;base=LAW&amp;n=511107&amp;dst=100310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пункте 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части 12 статьи 16 Федерального закона от 31 июля 2025 го</w:t>
      </w:r>
      <w:r>
        <w:rPr>
          <w:rFonts w:ascii="Times New Roman" w:hAnsi="Times New Roman"/>
          <w:sz w:val="28"/>
          <w:szCs w:val="28"/>
          <w:lang w:eastAsia="ru-RU"/>
        </w:rPr>
        <w:t xml:space="preserve">да № 295-ФЗ 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  <w:r>
        <w:rPr>
          <w:rFonts w:ascii="Times New Roman" w:hAnsi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 в статье 5: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а) в части 1: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пунк</w:t>
      </w:r>
      <w:r>
        <w:rPr>
          <w:rFonts w:ascii="Times New Roman" w:hAnsi="Times New Roman"/>
          <w:sz w:val="28"/>
          <w:szCs w:val="28"/>
          <w:lang w:eastAsia="ru-RU"/>
        </w:rPr>
        <w:t xml:space="preserve">те 2: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подпункт «в» после слов «(далее – специальная военная операция)</w:t>
      </w:r>
      <w:r>
        <w:rPr>
          <w:rFonts w:ascii="Times New Roman" w:hAnsi="Times New Roman"/>
          <w:sz w:val="28"/>
          <w:szCs w:val="28"/>
          <w:lang w:eastAsia="ru-RU"/>
        </w:rPr>
        <w:t xml:space="preserve">,»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словами «боевых действиях на территориях субъектов Российской Федерации, на которых Указом Президента Российской Федерации от 19 октября 2022 года № 757 «О мерах, осуществляе</w:t>
      </w:r>
      <w:r>
        <w:rPr>
          <w:rFonts w:ascii="Times New Roman" w:hAnsi="Times New Roman"/>
          <w:sz w:val="28"/>
          <w:szCs w:val="28"/>
          <w:lang w:eastAsia="ru-RU"/>
        </w:rPr>
        <w:t xml:space="preserve">мых в субъектах Российской Федерации в связи с Указом Президента Российской Федерации от 19 октября 2022 г. № 756» введен средний уровень реагирования (далее – боевые действия),»;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подпункт «г» после слов «в специальной военной операции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,»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словами </w:t>
      </w:r>
      <w:r>
        <w:rPr>
          <w:rFonts w:ascii="Times New Roman" w:hAnsi="Times New Roman"/>
          <w:sz w:val="28"/>
          <w:szCs w:val="28"/>
          <w:lang w:eastAsia="ru-RU"/>
        </w:rPr>
        <w:t xml:space="preserve">«боевых действиях,»;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подпункт «д» после слов «в специальной военной операции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,»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словами «боевых действиях,»;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подпункт «е» после слов «в специальной военной операции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,»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словами «боевых действиях,»;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подпункт «а» пункта 5 после слова «лицам</w:t>
      </w:r>
      <w:r>
        <w:rPr>
          <w:rFonts w:ascii="Times New Roman" w:hAnsi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словом «непрерывно»;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б) часть 1.1 изложить в следующей редакции: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«1.1. Земельные участки предоставляются гражданам, указанным в подпунктах «в» – «е» пункта 2 части 1 настоящей статьи, в случае, если военнослужащие, лица, заключившие контракт о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 лица, проходящие (проходившие) службу в войсках </w:t>
      </w:r>
      <w:r>
        <w:rPr>
          <w:rFonts w:ascii="Times New Roman" w:hAnsi="Times New Roman"/>
          <w:sz w:val="28"/>
          <w:szCs w:val="28"/>
          <w:lang w:eastAsia="ru-RU"/>
        </w:rPr>
        <w:t xml:space="preserve">национальной гвардии Росси</w:t>
      </w:r>
      <w:r>
        <w:rPr>
          <w:rFonts w:ascii="Times New Roman" w:hAnsi="Times New Roman"/>
          <w:sz w:val="28"/>
          <w:szCs w:val="28"/>
          <w:lang w:eastAsia="ru-RU"/>
        </w:rPr>
        <w:t xml:space="preserve">йской Федерации и имеющие специальные звания полиции, удостоенные звания Героя Российской Федерации или награжденные орденами Российской Федерации за заслуги, проявленные в ходе участия в специальной военной операции, боевых действиях, и являющиеся ветеран</w:t>
      </w:r>
      <w:r>
        <w:rPr>
          <w:rFonts w:ascii="Times New Roman" w:hAnsi="Times New Roman"/>
          <w:sz w:val="28"/>
          <w:szCs w:val="28"/>
          <w:lang w:eastAsia="ru-RU"/>
        </w:rPr>
        <w:t xml:space="preserve">ами боевых действий, на день завершения своего участия в специальной военной операции, боевых действиях были зарегистрированы по месту жительства или месту пребывания в Новосибирской области.»;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в) в части 1.2: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пункте 2 слова «и членов его семьи права </w:t>
      </w:r>
      <w:r>
        <w:rPr>
          <w:rFonts w:ascii="Times New Roman" w:hAnsi="Times New Roman"/>
          <w:sz w:val="28"/>
          <w:szCs w:val="28"/>
          <w:lang w:eastAsia="ru-RU"/>
        </w:rPr>
        <w:t xml:space="preserve">собственности» заменить словами «, его супруга (супруги), несовершеннолетних детей до достижения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возраста 18 лет или возраста 23 лет при условии обучения в организации, осуществляющей образовательную деятельность, по очной форме обучения, права собственнос</w:t>
      </w:r>
      <w:r>
        <w:rPr>
          <w:rFonts w:ascii="Times New Roman" w:hAnsi="Times New Roman"/>
          <w:sz w:val="28"/>
          <w:szCs w:val="28"/>
          <w:lang w:eastAsia="ru-RU"/>
        </w:rPr>
        <w:t xml:space="preserve">ти (общей собственности)»;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пункт 3 изложить в следующей редакции: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«3) гражданин, его супруг (супруга), несовершеннолетние дети до достижения возраста 18 лет или возраста 23 лет при условии обучени</w:t>
      </w:r>
      <w:r>
        <w:rPr>
          <w:rFonts w:ascii="Times New Roman" w:hAnsi="Times New Roman"/>
          <w:sz w:val="28"/>
          <w:szCs w:val="28"/>
          <w:lang w:eastAsia="ru-RU"/>
        </w:rPr>
        <w:t xml:space="preserve">я в организации, осуществляющей образовательную деятельность, по очной форме обучения, в течение пяти лет не совершали сделок по отчуждению земельных участков (долей в праве общей собственности на земельные участки), указанных в пункте 2 настоящей части.»;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г) абзац пятый части 6 дополнить словами «, боевых действиях»;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 в статье 6: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а) в части 1: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абзац третий после слов «настоящего Закона</w:t>
      </w:r>
      <w:r>
        <w:rPr>
          <w:rFonts w:ascii="Times New Roman" w:hAnsi="Times New Roman"/>
          <w:sz w:val="28"/>
          <w:szCs w:val="28"/>
          <w:lang w:eastAsia="ru-RU"/>
        </w:rPr>
        <w:t xml:space="preserve">,»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словами «за исключением граждан, удостоенных звания Героя Российской Федерации,»;</w:t>
      </w:r>
      <w:r>
        <w:rPr>
          <w:rFonts w:ascii="Times New Roman" w:hAnsi="Times New Roman"/>
          <w:strike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дополнить абзацами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«Учет граждан, удостоенных звания Героя Российской Федерации, из числа лиц, указанных в подпункте «а» пункта 2 части 1 статьи 5 настоящего Закона, постоянно проживающих в пределах городского округа Новосибирской об</w:t>
      </w:r>
      <w:r>
        <w:rPr>
          <w:rFonts w:ascii="Times New Roman" w:hAnsi="Times New Roman"/>
          <w:sz w:val="28"/>
          <w:szCs w:val="28"/>
          <w:lang w:eastAsia="ru-RU"/>
        </w:rPr>
        <w:t xml:space="preserve">ласти, осуществляется в органе местного самоуправления городского округа Новосибирской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Учет граждан, удостоенных звания Героя Российской Федерации, из числа лиц, указанных в подпунктах «в» – «д» пункта 2 части 1 статьи 5 настоящего Закона, зарегис</w:t>
      </w:r>
      <w:r>
        <w:rPr>
          <w:rFonts w:ascii="Times New Roman" w:hAnsi="Times New Roman"/>
          <w:sz w:val="28"/>
          <w:szCs w:val="28"/>
          <w:lang w:eastAsia="ru-RU"/>
        </w:rPr>
        <w:t xml:space="preserve">трированных по месту жительства или месту пребывания в городском округе Новосибирской области, осуществляется в органе местного самоуправления городского округа Новосибирской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Учет граждан, указанных в подпункте «е» пункта 2 части 1 статьи 5 настоя</w:t>
      </w:r>
      <w:r>
        <w:rPr>
          <w:rFonts w:ascii="Times New Roman" w:hAnsi="Times New Roman"/>
          <w:sz w:val="28"/>
          <w:szCs w:val="28"/>
          <w:lang w:eastAsia="ru-RU"/>
        </w:rPr>
        <w:t xml:space="preserve">щего Закона, осуществляется органом местного самоуправления соответствующего муниципального округа, муниципального района, городского округа Новосибирской области, в котором граждане, указанные в подпунктах «в» – «д» пункта 2 части 1 статьи 5 настоящего За</w:t>
      </w:r>
      <w:r>
        <w:rPr>
          <w:rFonts w:ascii="Times New Roman" w:hAnsi="Times New Roman"/>
          <w:sz w:val="28"/>
          <w:szCs w:val="28"/>
          <w:lang w:eastAsia="ru-RU"/>
        </w:rPr>
        <w:t xml:space="preserve">кона, были зарегистрированы по месту жительства или месту пребывания на день завершения своего участия в специальной военной операции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, боевых </w:t>
      </w:r>
      <w:r>
        <w:rPr>
          <w:rFonts w:ascii="Times New Roman" w:hAnsi="Times New Roman"/>
          <w:sz w:val="28"/>
          <w:szCs w:val="28"/>
          <w:lang w:eastAsia="ru-RU"/>
        </w:rPr>
        <w:t xml:space="preserve">действиях</w:t>
      </w:r>
      <w:r>
        <w:rPr>
          <w:rFonts w:ascii="Times New Roman" w:hAnsi="Times New Roman"/>
          <w:sz w:val="28"/>
          <w:szCs w:val="28"/>
          <w:lang w:eastAsia="ru-RU"/>
        </w:rPr>
        <w:t xml:space="preserve">.»;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б) абзац первый части 3 после слов «орган местного самоуправления» дополнить словами «городского окру</w:t>
      </w:r>
      <w:r>
        <w:rPr>
          <w:rFonts w:ascii="Times New Roman" w:hAnsi="Times New Roman"/>
          <w:sz w:val="28"/>
          <w:szCs w:val="28"/>
          <w:lang w:eastAsia="ru-RU"/>
        </w:rPr>
        <w:t xml:space="preserve">га,», после слов «осуществляющий учет)</w:t>
      </w:r>
      <w:r>
        <w:rPr>
          <w:rFonts w:ascii="Times New Roman" w:hAnsi="Times New Roman"/>
          <w:sz w:val="28"/>
          <w:szCs w:val="28"/>
          <w:lang w:eastAsia="ru-RU"/>
        </w:rPr>
        <w:t xml:space="preserve">,»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словами «посредством доступа к федеральной государственной информационной системе «Единый портал государственных и муниципальных услуг (функций)»;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в) часть 4 дополнить пунктом 4 следующего содержания: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«4) </w:t>
      </w:r>
      <w:r>
        <w:rPr>
          <w:rFonts w:ascii="Times New Roman" w:hAnsi="Times New Roman"/>
          <w:sz w:val="28"/>
          <w:szCs w:val="28"/>
          <w:lang w:eastAsia="ru-RU"/>
        </w:rPr>
        <w:t xml:space="preserve">согласие гражданина и членов его семьи на обработку персональных данных и согласие гражданина и членов его семьи на обработку персональных данных, разрешенных для распространения, по формам, утвержденным Правительством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.»;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г) часть 6 и</w:t>
      </w:r>
      <w:r>
        <w:rPr>
          <w:rFonts w:ascii="Times New Roman" w:hAnsi="Times New Roman"/>
          <w:sz w:val="28"/>
          <w:szCs w:val="28"/>
          <w:lang w:eastAsia="ru-RU"/>
        </w:rPr>
        <w:t xml:space="preserve">зложить в следующей редакции: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«6. </w:t>
      </w:r>
      <w:r>
        <w:rPr>
          <w:rFonts w:ascii="Times New Roman" w:hAnsi="Times New Roman"/>
          <w:sz w:val="28"/>
          <w:szCs w:val="28"/>
          <w:lang w:eastAsia="ru-RU"/>
        </w:rPr>
        <w:t xml:space="preserve">Граждане, указанные в пунктах 1, 2, 4, 5 части 1 статьи 5 настоящего Закона, за исключением лиц, удостоенных звания Героя Российской Федерации, и лиц, являющихся полными кавалерами ордена Славы, вправе представить по собст</w:t>
      </w:r>
      <w:r>
        <w:rPr>
          <w:rFonts w:ascii="Times New Roman" w:hAnsi="Times New Roman"/>
          <w:sz w:val="28"/>
          <w:szCs w:val="28"/>
          <w:lang w:eastAsia="ru-RU"/>
        </w:rPr>
        <w:t xml:space="preserve">венной инициативе документ, подтверждающий, что гражданин состоит на учете в качестве нуждающегося в жилом помещении в случае получения земельного участка для индивидуального жилищного строительства и ведения личного подсобного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хозяйства в границах населен</w:t>
      </w:r>
      <w:r>
        <w:rPr>
          <w:rFonts w:ascii="Times New Roman" w:hAnsi="Times New Roman"/>
          <w:sz w:val="28"/>
          <w:szCs w:val="28"/>
          <w:lang w:eastAsia="ru-RU"/>
        </w:rPr>
        <w:t xml:space="preserve">ного пункта (приусадебного земельного участка)</w:t>
      </w:r>
      <w:r>
        <w:rPr>
          <w:rFonts w:ascii="Times New Roman" w:hAnsi="Times New Roman"/>
          <w:sz w:val="28"/>
          <w:szCs w:val="28"/>
          <w:lang w:eastAsia="ru-RU"/>
        </w:rPr>
        <w:t xml:space="preserve">.»</w:t>
      </w:r>
      <w:r>
        <w:rPr>
          <w:rFonts w:ascii="Times New Roman" w:hAnsi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д) в части 9: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пункт 3 дополнить словами «, в том числе по основаниям, предусмотренным частями 21 и 22 настоящей статьи»;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пункт 5 после слов «Новосибирской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,»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словами «за исключением граждан</w:t>
      </w:r>
      <w:r>
        <w:rPr>
          <w:rFonts w:ascii="Times New Roman" w:hAnsi="Times New Roman"/>
          <w:sz w:val="28"/>
          <w:szCs w:val="28"/>
          <w:lang w:eastAsia="ru-RU"/>
        </w:rPr>
        <w:t xml:space="preserve">, указанных в подпункте «е» пункта 2 части 1 статьи 5 настоящего Закона,»;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е) пункт 4 части 10 дополнить словами «(за исключением случая, предусмотренного частью 11.2 настоящей статьи)</w:t>
      </w:r>
      <w:r>
        <w:rPr>
          <w:rFonts w:ascii="Times New Roman" w:hAnsi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ж) дополнить частями 11.1 и 11. 2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«11.1. В случ</w:t>
      </w:r>
      <w:r>
        <w:rPr>
          <w:rFonts w:ascii="Times New Roman" w:hAnsi="Times New Roman"/>
          <w:sz w:val="28"/>
          <w:szCs w:val="28"/>
          <w:lang w:eastAsia="ru-RU"/>
        </w:rPr>
        <w:t xml:space="preserve">аях, предусмотренных пунктами 1 и 2 части 11 настоящей статьи, граждане сохраняют право на первоочередное предоставление земельного участка в собственность бесплатно.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11.2. </w:t>
      </w:r>
      <w:r>
        <w:rPr>
          <w:rFonts w:ascii="Times New Roman" w:hAnsi="Times New Roman"/>
          <w:sz w:val="28"/>
          <w:szCs w:val="28"/>
          <w:lang w:eastAsia="ru-RU"/>
        </w:rPr>
        <w:t xml:space="preserve">В случае смерти родителя (опекуна, попечителя), который состоял на учете по основан</w:t>
      </w:r>
      <w:r>
        <w:rPr>
          <w:rFonts w:ascii="Times New Roman" w:hAnsi="Times New Roman"/>
          <w:sz w:val="28"/>
          <w:szCs w:val="28"/>
          <w:lang w:eastAsia="ru-RU"/>
        </w:rPr>
        <w:t xml:space="preserve">иям, предусмотренным пунктом 1 и подпунктом «а» пункта 4 части 1 статьи 5 настоящего Закона, предоставление земельного участка в собственность бесплатно осуществляется второму родителю (опекуну, попечителю) </w:t>
      </w:r>
      <w:r>
        <w:rPr>
          <w:rFonts w:ascii="Times New Roman" w:hAnsi="Times New Roman"/>
          <w:color w:val="000000"/>
          <w:sz w:val="28"/>
          <w:highlight w:val="white"/>
        </w:rPr>
        <w:t xml:space="preserve">по его письменному заявлению при условии совместн</w:t>
      </w:r>
      <w:r>
        <w:rPr>
          <w:rFonts w:ascii="Times New Roman" w:hAnsi="Times New Roman"/>
          <w:color w:val="000000"/>
          <w:sz w:val="28"/>
          <w:highlight w:val="white"/>
        </w:rPr>
        <w:t xml:space="preserve">ого проживания родителей </w:t>
      </w:r>
      <w:r>
        <w:rPr>
          <w:rFonts w:ascii="Times New Roman" w:hAnsi="Times New Roman"/>
          <w:sz w:val="28"/>
          <w:szCs w:val="28"/>
          <w:lang w:eastAsia="ru-RU"/>
        </w:rPr>
        <w:t xml:space="preserve">(опекунов, попечителей) с ребенком-инвалидом, тремя и более детьми.»;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з) абзац второй части 16 после слов «Орган местного самоуправления» дополнить словами «городского округа</w:t>
      </w:r>
      <w:r>
        <w:rPr>
          <w:rFonts w:ascii="Times New Roman" w:hAnsi="Times New Roman"/>
          <w:sz w:val="28"/>
          <w:szCs w:val="28"/>
          <w:lang w:eastAsia="ru-RU"/>
        </w:rPr>
        <w:t xml:space="preserve">,»</w:t>
      </w:r>
      <w:r>
        <w:rPr>
          <w:rFonts w:ascii="Times New Roman" w:hAnsi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и) часть 16.2 дополнить абзацем следующего содержания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sz w:val="28"/>
          <w:szCs w:val="28"/>
          <w:lang w:eastAsia="ru-RU"/>
        </w:rPr>
        <w:t xml:space="preserve">В случае указания гражданином в письменном заявлении об отказе от предложенного земельного участка несогласия с его месторасположением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повторное предложение земельного участка органом местного самоуправления городского округа, уполномоченным на предоста</w:t>
      </w:r>
      <w:r>
        <w:rPr>
          <w:rFonts w:ascii="Times New Roman" w:hAnsi="Times New Roman"/>
          <w:sz w:val="28"/>
          <w:szCs w:val="28"/>
          <w:lang w:eastAsia="ru-RU"/>
        </w:rPr>
        <w:t xml:space="preserve">вление земельного участка, осуществляется на территории иного кадастрового квартала в границах того же городского округа.»;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к) дополнить частями 20.1 и 20.2 следующего содержания: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«20.1. Предоставление земельных участков для индивидуального жилищного строи</w:t>
      </w:r>
      <w:r>
        <w:rPr>
          <w:rFonts w:ascii="Times New Roman" w:hAnsi="Times New Roman"/>
          <w:sz w:val="28"/>
          <w:szCs w:val="28"/>
          <w:lang w:eastAsia="ru-RU"/>
        </w:rPr>
        <w:t xml:space="preserve">тельства, ведения гражданами садоводства для собственных нужд, ведения личного подсобного хозяйства в границах населенного пункта (приусадебного земельного участка) лицам, указанным в пункте 1 части 1 статьи 5 настоящего Закона, осуществляется в первоочере</w:t>
      </w:r>
      <w:r>
        <w:rPr>
          <w:rFonts w:ascii="Times New Roman" w:hAnsi="Times New Roman"/>
          <w:sz w:val="28"/>
          <w:szCs w:val="28"/>
          <w:lang w:eastAsia="ru-RU"/>
        </w:rPr>
        <w:t xml:space="preserve">дном порядке.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20.2.</w:t>
      </w:r>
      <w:bookmarkStart w:id="6" w:name="_GoBack"/>
      <w:r/>
      <w:bookmarkEnd w:id="6"/>
      <w:r>
        <w:rPr>
          <w:rFonts w:ascii="Times New Roman" w:hAnsi="Times New Roman"/>
          <w:sz w:val="28"/>
          <w:szCs w:val="28"/>
          <w:lang w:eastAsia="ru-RU"/>
        </w:rPr>
        <w:t xml:space="preserve"> Предоставление земельных участков инвалидам из числа лиц, указанных в подпунктах «а», «г» пункта 3, подпункте «а» пункта 4 части 1 статьи 5 настоящего Закона, осуществляется в первоочередном порядке</w:t>
      </w:r>
      <w:r>
        <w:rPr>
          <w:rFonts w:ascii="Times New Roman" w:hAnsi="Times New Roman"/>
          <w:sz w:val="28"/>
          <w:szCs w:val="28"/>
          <w:lang w:eastAsia="ru-RU"/>
        </w:rPr>
        <w:t xml:space="preserve">.»;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</w:pPr>
      <w:r>
        <w:rPr>
          <w:rFonts w:ascii="Times New Roman" w:hAnsi="Times New Roman"/>
          <w:sz w:val="28"/>
          <w:szCs w:val="28"/>
          <w:lang w:eastAsia="ru-RU"/>
        </w:rPr>
        <w:t xml:space="preserve">5) статью 6.2 дополнить частью 4.1</w:t>
      </w:r>
      <w:r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  <w:r/>
    </w:p>
    <w:p>
      <w:pPr>
        <w:ind w:firstLine="708"/>
        <w:jc w:val="both"/>
        <w:spacing w:after="0" w:line="240" w:lineRule="auto"/>
      </w:pPr>
      <w:r>
        <w:rPr>
          <w:rFonts w:ascii="Times New Roman" w:hAnsi="Times New Roman"/>
          <w:sz w:val="28"/>
          <w:szCs w:val="28"/>
          <w:lang w:eastAsia="ru-RU"/>
        </w:rPr>
        <w:t xml:space="preserve">«4.1. Предоставление единовременной денежной выплаты гражданам, указанным в подпунктах «в» – «е» пункта 2 части 1 статьи 5 настоящего Закона, осуществляется во внеочередном порядке</w:t>
      </w:r>
      <w:r>
        <w:rPr>
          <w:rFonts w:ascii="Times New Roman" w:hAnsi="Times New Roman"/>
          <w:sz w:val="28"/>
          <w:szCs w:val="28"/>
          <w:lang w:eastAsia="ru-RU"/>
        </w:rPr>
        <w:t xml:space="preserve">.»</w:t>
      </w:r>
      <w:r>
        <w:rPr>
          <w:rFonts w:ascii="Times New Roman" w:hAnsi="Times New Roman"/>
          <w:sz w:val="28"/>
          <w:szCs w:val="28"/>
        </w:rPr>
        <w:t xml:space="preserve">;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6) в приложении 2: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а) абзац четвертый признать утратившим силу;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б) абзац пятый признать утратившим силу;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в) абзац двенадцатый признать утратившим силу;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г) абзац тринадцатый признать утратившим силу;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д) абзац шестнадцатый признать утратившим силу;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е) дополнить абзацами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«Венгеровский муниципальный округ;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Доволенский муниципальный округ;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Северный муниципальный округ;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Сузунский муниципальный округ;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Убинский муниципальный округ</w:t>
      </w:r>
      <w:r>
        <w:rPr>
          <w:rFonts w:ascii="Times New Roman" w:hAnsi="Times New Roman"/>
          <w:sz w:val="28"/>
          <w:szCs w:val="28"/>
          <w:lang w:eastAsia="ru-RU"/>
        </w:rPr>
        <w:t xml:space="preserve">.».</w:t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 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</w:t>
      </w:r>
      <w:r>
        <w:rPr>
          <w:rFonts w:ascii="Times New Roman" w:hAnsi="Times New Roman"/>
          <w:sz w:val="28"/>
          <w:szCs w:val="28"/>
        </w:rPr>
        <w:t xml:space="preserve">ня, следующего за днем его офици</w:t>
      </w:r>
      <w:r>
        <w:rPr>
          <w:rFonts w:ascii="Times New Roman" w:hAnsi="Times New Roman"/>
          <w:sz w:val="28"/>
          <w:szCs w:val="28"/>
          <w:lang w:eastAsia="ru-RU"/>
        </w:rPr>
        <w:t xml:space="preserve">ального опубликования.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2. </w:t>
      </w:r>
      <w:r>
        <w:rPr>
          <w:rFonts w:ascii="Times New Roman" w:hAnsi="Times New Roman"/>
          <w:sz w:val="28"/>
          <w:szCs w:val="28"/>
          <w:lang w:eastAsia="ru-RU"/>
        </w:rPr>
        <w:t xml:space="preserve">Гражданам, вставшим на учет до дня вступления в силу настоящего Закона, земельные участки, находящиеся в муниципальной собственности, а также земельные участки, государственная собственность на кото</w:t>
      </w:r>
      <w:r>
        <w:rPr>
          <w:rFonts w:ascii="Times New Roman" w:hAnsi="Times New Roman"/>
          <w:sz w:val="28"/>
          <w:szCs w:val="28"/>
          <w:lang w:eastAsia="ru-RU"/>
        </w:rPr>
        <w:t xml:space="preserve">рые не разграничена, предоставляются в соответствии с подпунктом «а» пункта 5 части 1 статьи 5 Закона Новосибирской области от 5 декабря 2016 года № 112-ОЗ «Об отдельных вопросах регулирования земельных отношений на территории Новосибирской области» (в ред</w:t>
      </w:r>
      <w:r>
        <w:rPr>
          <w:rFonts w:ascii="Times New Roman" w:hAnsi="Times New Roman"/>
          <w:sz w:val="28"/>
          <w:szCs w:val="28"/>
          <w:lang w:eastAsia="ru-RU"/>
        </w:rPr>
        <w:t xml:space="preserve">акции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действовавшей</w:t>
      </w:r>
      <w:r>
        <w:rPr>
          <w:rFonts w:ascii="Times New Roman" w:hAnsi="Times New Roman"/>
          <w:sz w:val="28"/>
          <w:szCs w:val="28"/>
          <w:lang w:eastAsia="ru-RU"/>
        </w:rPr>
        <w:t xml:space="preserve"> до дня вступления в силу настоящего Закона).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pStyle w:val="9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1106" w:left="1418" w:header="720" w:footer="720" w:gutter="0"/>
      <w:cols w:num="1" w:sep="0" w:space="720" w:equalWidth="1"/>
      <w:docGrid w:linePitch="360"/>
      <w:titlePg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Якубова" w:date="2026-04-09T11:10:00Z" w:initials="Л.В.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Откорректировать с целью устранения дискриминационного признака в пределах одной категории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FE232C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2"/>
  </w:num>
  <w:num w:numId="4">
    <w:abstractNumId w:val="11"/>
  </w:num>
  <w:num w:numId="5">
    <w:abstractNumId w:val="7"/>
  </w:num>
  <w:num w:numId="6">
    <w:abstractNumId w:val="20"/>
  </w:num>
  <w:num w:numId="7">
    <w:abstractNumId w:val="21"/>
  </w:num>
  <w:num w:numId="8">
    <w:abstractNumId w:val="1"/>
  </w:num>
  <w:num w:numId="9">
    <w:abstractNumId w:val="0"/>
  </w:num>
  <w:num w:numId="10">
    <w:abstractNumId w:val="15"/>
  </w:num>
  <w:num w:numId="11">
    <w:abstractNumId w:val="3"/>
  </w:num>
  <w:num w:numId="12">
    <w:abstractNumId w:val="9"/>
  </w:num>
  <w:num w:numId="13">
    <w:abstractNumId w:val="4"/>
  </w:num>
  <w:num w:numId="14">
    <w:abstractNumId w:val="6"/>
  </w:num>
  <w:num w:numId="15">
    <w:abstractNumId w:val="13"/>
  </w:num>
  <w:num w:numId="16">
    <w:abstractNumId w:val="8"/>
  </w:num>
  <w:num w:numId="17">
    <w:abstractNumId w:val="5"/>
  </w:num>
  <w:num w:numId="18">
    <w:abstractNumId w:val="19"/>
  </w:num>
  <w:num w:numId="19">
    <w:abstractNumId w:val="12"/>
  </w:num>
  <w:num w:numId="20">
    <w:abstractNumId w:val="16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1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paragraph" w:styleId="715" w:customStyle="1">
    <w:name w:val="Heading 1"/>
    <w:basedOn w:val="711"/>
    <w:next w:val="711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16" w:customStyle="1">
    <w:name w:val="Heading 2"/>
    <w:basedOn w:val="711"/>
    <w:next w:val="71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7" w:customStyle="1">
    <w:name w:val="Heading 3"/>
    <w:basedOn w:val="711"/>
    <w:next w:val="71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8" w:customStyle="1">
    <w:name w:val="Heading 4"/>
    <w:basedOn w:val="711"/>
    <w:next w:val="71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9" w:customStyle="1">
    <w:name w:val="Heading 5"/>
    <w:basedOn w:val="711"/>
    <w:next w:val="71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0" w:customStyle="1">
    <w:name w:val="Heading 6"/>
    <w:basedOn w:val="711"/>
    <w:next w:val="71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1" w:customStyle="1">
    <w:name w:val="Heading 7"/>
    <w:basedOn w:val="711"/>
    <w:next w:val="71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2" w:customStyle="1">
    <w:name w:val="Heading 8"/>
    <w:basedOn w:val="711"/>
    <w:next w:val="71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3" w:customStyle="1">
    <w:name w:val="Heading 9"/>
    <w:basedOn w:val="711"/>
    <w:next w:val="71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724" w:customStyle="1">
    <w:name w:val="Header"/>
    <w:basedOn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25" w:customStyle="1">
    <w:name w:val="Footer"/>
    <w:basedOn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26" w:customStyle="1">
    <w:name w:val="Caption"/>
    <w:basedOn w:val="711"/>
    <w:next w:val="71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727" w:customStyle="1">
    <w:name w:val="Plain Table 1"/>
    <w:basedOn w:val="71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 w:customStyle="1">
    <w:name w:val="Plain Table 2"/>
    <w:basedOn w:val="713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 w:customStyle="1">
    <w:name w:val="Plain Table 3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 w:customStyle="1">
    <w:name w:val="Plain Table 4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Plain Table 5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1 Light"/>
    <w:basedOn w:val="713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2"/>
    <w:basedOn w:val="71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"/>
    <w:basedOn w:val="71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4"/>
    <w:basedOn w:val="713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5 Dark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6 Colorful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8" w:customStyle="1">
    <w:name w:val="Grid Table 7 Colorful"/>
    <w:basedOn w:val="713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9" w:customStyle="1">
    <w:name w:val="List Table 1 Light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List Table 2"/>
    <w:basedOn w:val="713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41" w:customStyle="1">
    <w:name w:val="List Table 3"/>
    <w:basedOn w:val="71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List Table 4"/>
    <w:basedOn w:val="71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List Table 5 Dark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4" w:customStyle="1">
    <w:name w:val="List Table 6 Colorful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5" w:customStyle="1">
    <w:name w:val="List Table 7 Colorful"/>
    <w:basedOn w:val="713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paragraph" w:styleId="746" w:customStyle="1">
    <w:name w:val="Заголовок 11"/>
    <w:basedOn w:val="711"/>
    <w:next w:val="711"/>
    <w:link w:val="80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47" w:customStyle="1">
    <w:name w:val="Заголовок 21"/>
    <w:basedOn w:val="711"/>
    <w:next w:val="711"/>
    <w:link w:val="79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48" w:customStyle="1">
    <w:name w:val="Заголовок 31"/>
    <w:basedOn w:val="711"/>
    <w:next w:val="711"/>
    <w:link w:val="80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49" w:customStyle="1">
    <w:name w:val="Заголовок 41"/>
    <w:basedOn w:val="711"/>
    <w:next w:val="711"/>
    <w:link w:val="79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 w:customStyle="1">
    <w:name w:val="Заголовок 51"/>
    <w:basedOn w:val="711"/>
    <w:next w:val="711"/>
    <w:link w:val="79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51" w:customStyle="1">
    <w:name w:val="Заголовок 61"/>
    <w:basedOn w:val="711"/>
    <w:next w:val="711"/>
    <w:link w:val="79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52" w:customStyle="1">
    <w:name w:val="Заголовок 71"/>
    <w:basedOn w:val="711"/>
    <w:next w:val="711"/>
    <w:link w:val="79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53" w:customStyle="1">
    <w:name w:val="Заголовок 81"/>
    <w:basedOn w:val="711"/>
    <w:next w:val="711"/>
    <w:link w:val="80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54" w:customStyle="1">
    <w:name w:val="Заголовок 91"/>
    <w:basedOn w:val="711"/>
    <w:next w:val="711"/>
    <w:link w:val="80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755" w:customStyle="1">
    <w:name w:val="Верхний колонтитул1"/>
    <w:basedOn w:val="711"/>
    <w:link w:val="8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56" w:customStyle="1">
    <w:name w:val="Нижний колонтитул1"/>
    <w:basedOn w:val="711"/>
    <w:link w:val="8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57" w:customStyle="1">
    <w:name w:val="Название объекта1"/>
    <w:basedOn w:val="711"/>
    <w:next w:val="71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758" w:customStyle="1">
    <w:name w:val="Таблица простая 11"/>
    <w:basedOn w:val="71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 w:customStyle="1">
    <w:name w:val="Таблица простая 21"/>
    <w:basedOn w:val="713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 w:customStyle="1">
    <w:name w:val="Таблица простая 3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1" w:customStyle="1">
    <w:name w:val="Таблица простая 4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Таблица простая 5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3" w:customStyle="1">
    <w:name w:val="Таблица-сетка 1 светлая1"/>
    <w:basedOn w:val="713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Таблица-сетка 21"/>
    <w:basedOn w:val="71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Таблица-сетка 31"/>
    <w:basedOn w:val="71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Таблица-сетка 41"/>
    <w:basedOn w:val="713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 w:customStyle="1">
    <w:name w:val="Таблица-сетка 5 темная1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8" w:customStyle="1">
    <w:name w:val="Таблица-сетка 6 цветная1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9" w:customStyle="1">
    <w:name w:val="Таблица-сетка 7 цветная1"/>
    <w:basedOn w:val="713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0" w:customStyle="1">
    <w:name w:val="Список-таблица 1 светлая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Список-таблица 21"/>
    <w:basedOn w:val="713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Список-таблица 31"/>
    <w:basedOn w:val="71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Список-таблица 41"/>
    <w:basedOn w:val="71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Список-таблица 5 темная1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Список-таблица 6 цветная1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6" w:customStyle="1">
    <w:name w:val="Список-таблица 7 цветная1"/>
    <w:basedOn w:val="713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paragraph" w:styleId="777" w:customStyle="1">
    <w:name w:val="Заголовок 11"/>
    <w:basedOn w:val="711"/>
    <w:next w:val="711"/>
    <w:link w:val="786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78" w:customStyle="1">
    <w:name w:val="Заголовок 21"/>
    <w:basedOn w:val="711"/>
    <w:next w:val="711"/>
    <w:link w:val="78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79" w:customStyle="1">
    <w:name w:val="Заголовок 31"/>
    <w:basedOn w:val="711"/>
    <w:next w:val="711"/>
    <w:link w:val="788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80" w:customStyle="1">
    <w:name w:val="Заголовок 41"/>
    <w:basedOn w:val="711"/>
    <w:next w:val="711"/>
    <w:link w:val="78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1" w:customStyle="1">
    <w:name w:val="Заголовок 51"/>
    <w:basedOn w:val="711"/>
    <w:next w:val="711"/>
    <w:link w:val="79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2" w:customStyle="1">
    <w:name w:val="Заголовок 61"/>
    <w:basedOn w:val="711"/>
    <w:next w:val="711"/>
    <w:link w:val="79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83" w:customStyle="1">
    <w:name w:val="Заголовок 71"/>
    <w:basedOn w:val="711"/>
    <w:next w:val="711"/>
    <w:link w:val="79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84" w:customStyle="1">
    <w:name w:val="Заголовок 81"/>
    <w:basedOn w:val="711"/>
    <w:next w:val="711"/>
    <w:link w:val="79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85" w:customStyle="1">
    <w:name w:val="Заголовок 91"/>
    <w:basedOn w:val="711"/>
    <w:next w:val="711"/>
    <w:link w:val="79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6" w:customStyle="1">
    <w:name w:val="Заголовок 1 Знак"/>
    <w:basedOn w:val="712"/>
    <w:link w:val="777"/>
    <w:uiPriority w:val="9"/>
    <w:rPr>
      <w:rFonts w:ascii="Arial" w:hAnsi="Arial" w:cs="Times New Roman"/>
      <w:b/>
      <w:sz w:val="32"/>
    </w:rPr>
  </w:style>
  <w:style w:type="character" w:styleId="787" w:customStyle="1">
    <w:name w:val="Заголовок 2 Знак"/>
    <w:basedOn w:val="712"/>
    <w:link w:val="778"/>
    <w:uiPriority w:val="9"/>
    <w:rPr>
      <w:rFonts w:ascii="Arial" w:hAnsi="Arial" w:eastAsia="Arial" w:cs="Arial"/>
      <w:sz w:val="34"/>
    </w:rPr>
  </w:style>
  <w:style w:type="character" w:styleId="788" w:customStyle="1">
    <w:name w:val="Заголовок 3 Знак"/>
    <w:basedOn w:val="712"/>
    <w:link w:val="779"/>
    <w:uiPriority w:val="9"/>
    <w:rPr>
      <w:rFonts w:ascii="Times New Roman" w:hAnsi="Times New Roman" w:cs="Times New Roman"/>
      <w:b/>
      <w:sz w:val="24"/>
    </w:rPr>
  </w:style>
  <w:style w:type="character" w:styleId="789" w:customStyle="1">
    <w:name w:val="Заголовок 4 Знак"/>
    <w:basedOn w:val="712"/>
    <w:link w:val="780"/>
    <w:uiPriority w:val="9"/>
    <w:rPr>
      <w:rFonts w:ascii="Arial" w:hAnsi="Arial" w:eastAsia="Arial" w:cs="Arial"/>
      <w:b/>
      <w:bCs/>
      <w:sz w:val="26"/>
      <w:szCs w:val="26"/>
    </w:rPr>
  </w:style>
  <w:style w:type="character" w:styleId="790" w:customStyle="1">
    <w:name w:val="Заголовок 5 Знак"/>
    <w:basedOn w:val="712"/>
    <w:link w:val="781"/>
    <w:uiPriority w:val="9"/>
    <w:rPr>
      <w:rFonts w:ascii="Arial" w:hAnsi="Arial" w:eastAsia="Arial" w:cs="Arial"/>
      <w:b/>
      <w:bCs/>
      <w:sz w:val="24"/>
      <w:szCs w:val="24"/>
    </w:rPr>
  </w:style>
  <w:style w:type="character" w:styleId="791" w:customStyle="1">
    <w:name w:val="Заголовок 6 Знак"/>
    <w:basedOn w:val="712"/>
    <w:link w:val="782"/>
    <w:uiPriority w:val="9"/>
    <w:rPr>
      <w:rFonts w:ascii="Arial" w:hAnsi="Arial" w:eastAsia="Arial" w:cs="Arial"/>
      <w:b/>
      <w:bCs/>
      <w:sz w:val="22"/>
      <w:szCs w:val="22"/>
    </w:rPr>
  </w:style>
  <w:style w:type="character" w:styleId="792" w:customStyle="1">
    <w:name w:val="Заголовок 7 Знак"/>
    <w:basedOn w:val="712"/>
    <w:link w:val="7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3" w:customStyle="1">
    <w:name w:val="Заголовок 8 Знак"/>
    <w:basedOn w:val="712"/>
    <w:link w:val="784"/>
    <w:uiPriority w:val="9"/>
    <w:rPr>
      <w:rFonts w:ascii="Arial" w:hAnsi="Arial" w:eastAsia="Arial" w:cs="Arial"/>
      <w:i/>
      <w:iCs/>
      <w:sz w:val="22"/>
      <w:szCs w:val="22"/>
    </w:rPr>
  </w:style>
  <w:style w:type="character" w:styleId="794" w:customStyle="1">
    <w:name w:val="Заголовок 9 Знак"/>
    <w:basedOn w:val="712"/>
    <w:link w:val="785"/>
    <w:uiPriority w:val="9"/>
    <w:rPr>
      <w:rFonts w:ascii="Arial" w:hAnsi="Arial" w:eastAsia="Arial" w:cs="Arial"/>
      <w:i/>
      <w:iCs/>
      <w:sz w:val="21"/>
      <w:szCs w:val="21"/>
    </w:rPr>
  </w:style>
  <w:style w:type="character" w:styleId="795" w:customStyle="1">
    <w:name w:val="Heading 2 Char"/>
    <w:basedOn w:val="712"/>
    <w:link w:val="747"/>
    <w:uiPriority w:val="9"/>
    <w:rPr>
      <w:rFonts w:ascii="Arial" w:hAnsi="Arial" w:eastAsia="Arial" w:cs="Arial"/>
      <w:sz w:val="34"/>
    </w:rPr>
  </w:style>
  <w:style w:type="character" w:styleId="796" w:customStyle="1">
    <w:name w:val="Heading 4 Char"/>
    <w:basedOn w:val="712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97" w:customStyle="1">
    <w:name w:val="Heading 5 Char"/>
    <w:basedOn w:val="712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98" w:customStyle="1">
    <w:name w:val="Heading 6 Char"/>
    <w:basedOn w:val="712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99" w:customStyle="1">
    <w:name w:val="Heading 7 Char"/>
    <w:basedOn w:val="712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0" w:customStyle="1">
    <w:name w:val="Heading 8 Char"/>
    <w:basedOn w:val="712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801" w:customStyle="1">
    <w:name w:val="Heading 9 Char"/>
    <w:basedOn w:val="712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802" w:customStyle="1">
    <w:name w:val="Title Char"/>
    <w:basedOn w:val="712"/>
    <w:uiPriority w:val="10"/>
    <w:rPr>
      <w:sz w:val="48"/>
      <w:szCs w:val="48"/>
    </w:rPr>
  </w:style>
  <w:style w:type="character" w:styleId="803" w:customStyle="1">
    <w:name w:val="Subtitle Char"/>
    <w:basedOn w:val="712"/>
    <w:uiPriority w:val="11"/>
    <w:rPr>
      <w:sz w:val="24"/>
      <w:szCs w:val="24"/>
    </w:rPr>
  </w:style>
  <w:style w:type="character" w:styleId="804" w:customStyle="1">
    <w:name w:val="Quote Char"/>
    <w:uiPriority w:val="29"/>
    <w:rPr>
      <w:i/>
    </w:rPr>
  </w:style>
  <w:style w:type="character" w:styleId="805" w:customStyle="1">
    <w:name w:val="Intense Quote Char"/>
    <w:uiPriority w:val="30"/>
    <w:rPr>
      <w:i/>
    </w:rPr>
  </w:style>
  <w:style w:type="character" w:styleId="806" w:customStyle="1">
    <w:name w:val="Footnote Text Char"/>
    <w:uiPriority w:val="99"/>
    <w:rPr>
      <w:sz w:val="18"/>
    </w:rPr>
  </w:style>
  <w:style w:type="character" w:styleId="807" w:customStyle="1">
    <w:name w:val="Endnote Text Char"/>
    <w:uiPriority w:val="99"/>
    <w:rPr>
      <w:sz w:val="20"/>
    </w:rPr>
  </w:style>
  <w:style w:type="character" w:styleId="808" w:customStyle="1">
    <w:name w:val="Heading 1 Char"/>
    <w:basedOn w:val="712"/>
    <w:link w:val="746"/>
    <w:uiPriority w:val="9"/>
    <w:rPr>
      <w:rFonts w:ascii="Arial" w:hAnsi="Arial" w:eastAsia="Arial" w:cs="Arial"/>
      <w:sz w:val="40"/>
      <w:szCs w:val="40"/>
    </w:rPr>
  </w:style>
  <w:style w:type="character" w:styleId="809" w:customStyle="1">
    <w:name w:val="Heading 3 Char"/>
    <w:basedOn w:val="712"/>
    <w:link w:val="748"/>
    <w:uiPriority w:val="9"/>
    <w:rPr>
      <w:rFonts w:ascii="Arial" w:hAnsi="Arial" w:eastAsia="Arial" w:cs="Arial"/>
      <w:sz w:val="30"/>
      <w:szCs w:val="30"/>
    </w:rPr>
  </w:style>
  <w:style w:type="paragraph" w:styleId="810">
    <w:name w:val="No Spacing"/>
    <w:uiPriority w:val="1"/>
    <w:qFormat/>
  </w:style>
  <w:style w:type="paragraph" w:styleId="811">
    <w:name w:val="Title"/>
    <w:basedOn w:val="711"/>
    <w:next w:val="711"/>
    <w:link w:val="812"/>
    <w:uiPriority w:val="10"/>
    <w:qFormat/>
    <w:pPr>
      <w:contextualSpacing/>
      <w:spacing w:before="300"/>
    </w:pPr>
    <w:rPr>
      <w:sz w:val="48"/>
      <w:szCs w:val="48"/>
    </w:rPr>
  </w:style>
  <w:style w:type="character" w:styleId="812" w:customStyle="1">
    <w:name w:val="Название Знак"/>
    <w:basedOn w:val="712"/>
    <w:link w:val="811"/>
    <w:uiPriority w:val="10"/>
    <w:rPr>
      <w:sz w:val="48"/>
      <w:szCs w:val="48"/>
    </w:rPr>
  </w:style>
  <w:style w:type="paragraph" w:styleId="813">
    <w:name w:val="Subtitle"/>
    <w:basedOn w:val="711"/>
    <w:next w:val="711"/>
    <w:link w:val="814"/>
    <w:uiPriority w:val="11"/>
    <w:qFormat/>
    <w:pPr>
      <w:spacing w:before="200"/>
    </w:pPr>
    <w:rPr>
      <w:sz w:val="24"/>
      <w:szCs w:val="24"/>
    </w:rPr>
  </w:style>
  <w:style w:type="character" w:styleId="814" w:customStyle="1">
    <w:name w:val="Подзаголовок Знак"/>
    <w:basedOn w:val="712"/>
    <w:link w:val="813"/>
    <w:uiPriority w:val="11"/>
    <w:rPr>
      <w:sz w:val="24"/>
      <w:szCs w:val="24"/>
    </w:rPr>
  </w:style>
  <w:style w:type="paragraph" w:styleId="815">
    <w:name w:val="Quote"/>
    <w:basedOn w:val="711"/>
    <w:next w:val="711"/>
    <w:link w:val="816"/>
    <w:uiPriority w:val="29"/>
    <w:qFormat/>
    <w:pPr>
      <w:ind w:left="720" w:right="720"/>
    </w:pPr>
    <w:rPr>
      <w:i/>
    </w:rPr>
  </w:style>
  <w:style w:type="character" w:styleId="816" w:customStyle="1">
    <w:name w:val="Цитата 2 Знак"/>
    <w:link w:val="815"/>
    <w:uiPriority w:val="29"/>
    <w:rPr>
      <w:i/>
    </w:rPr>
  </w:style>
  <w:style w:type="paragraph" w:styleId="817">
    <w:name w:val="Intense Quote"/>
    <w:basedOn w:val="711"/>
    <w:next w:val="711"/>
    <w:link w:val="8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8" w:customStyle="1">
    <w:name w:val="Выделенная цитата Знак"/>
    <w:link w:val="817"/>
    <w:uiPriority w:val="30"/>
    <w:rPr>
      <w:i/>
    </w:rPr>
  </w:style>
  <w:style w:type="character" w:styleId="819" w:customStyle="1">
    <w:name w:val="Header Char"/>
    <w:basedOn w:val="712"/>
    <w:link w:val="755"/>
    <w:uiPriority w:val="99"/>
  </w:style>
  <w:style w:type="character" w:styleId="820" w:customStyle="1">
    <w:name w:val="Footer Char"/>
    <w:basedOn w:val="712"/>
    <w:link w:val="756"/>
    <w:uiPriority w:val="99"/>
  </w:style>
  <w:style w:type="paragraph" w:styleId="821" w:customStyle="1">
    <w:name w:val="Название объекта1"/>
    <w:basedOn w:val="711"/>
    <w:next w:val="711"/>
    <w:link w:val="82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22" w:customStyle="1">
    <w:name w:val="Caption Char"/>
    <w:link w:val="821"/>
    <w:uiPriority w:val="99"/>
  </w:style>
  <w:style w:type="table" w:styleId="823" w:customStyle="1">
    <w:name w:val="Table Grid Light"/>
    <w:basedOn w:val="71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 w:customStyle="1">
    <w:name w:val="Таблица простая 11"/>
    <w:basedOn w:val="71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 w:customStyle="1">
    <w:name w:val="Таблица простая 21"/>
    <w:basedOn w:val="713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 w:customStyle="1">
    <w:name w:val="Таблица простая 3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7" w:customStyle="1">
    <w:name w:val="Таблица простая 4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Таблица простая 5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9" w:customStyle="1">
    <w:name w:val="Таблица-сетка 1 светлая1"/>
    <w:basedOn w:val="713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1"/>
    <w:basedOn w:val="713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2"/>
    <w:basedOn w:val="713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3"/>
    <w:basedOn w:val="71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4"/>
    <w:basedOn w:val="713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5"/>
    <w:basedOn w:val="713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6"/>
    <w:basedOn w:val="713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Таблица-сетка 21"/>
    <w:basedOn w:val="71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1"/>
    <w:basedOn w:val="713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2"/>
    <w:basedOn w:val="71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3"/>
    <w:basedOn w:val="71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4"/>
    <w:basedOn w:val="71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5"/>
    <w:basedOn w:val="713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6"/>
    <w:basedOn w:val="713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Таблица-сетка 31"/>
    <w:basedOn w:val="71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1"/>
    <w:basedOn w:val="713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2"/>
    <w:basedOn w:val="71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3"/>
    <w:basedOn w:val="71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4"/>
    <w:basedOn w:val="71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5"/>
    <w:basedOn w:val="713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6"/>
    <w:basedOn w:val="713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Таблица-сетка 41"/>
    <w:basedOn w:val="713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1" w:customStyle="1">
    <w:name w:val="Grid Table 4 - Accent 1"/>
    <w:basedOn w:val="713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2" w:customStyle="1">
    <w:name w:val="Grid Table 4 - Accent 2"/>
    <w:basedOn w:val="713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3" w:customStyle="1">
    <w:name w:val="Grid Table 4 - Accent 3"/>
    <w:basedOn w:val="71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4" w:customStyle="1">
    <w:name w:val="Grid Table 4 - Accent 4"/>
    <w:basedOn w:val="713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5" w:customStyle="1">
    <w:name w:val="Grid Table 4 - Accent 5"/>
    <w:basedOn w:val="713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6" w:customStyle="1">
    <w:name w:val="Grid Table 4 - Accent 6"/>
    <w:basedOn w:val="713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7" w:customStyle="1">
    <w:name w:val="Таблица-сетка 5 темная1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1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2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3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- Accent 4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5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6"/>
    <w:basedOn w:val="71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4" w:customStyle="1">
    <w:name w:val="Таблица-сетка 6 цветная1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5" w:customStyle="1">
    <w:name w:val="Grid Table 6 Colorful - Accent 1"/>
    <w:basedOn w:val="713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6" w:customStyle="1">
    <w:name w:val="Grid Table 6 Colorful - Accent 2"/>
    <w:basedOn w:val="71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7" w:customStyle="1">
    <w:name w:val="Grid Table 6 Colorful - Accent 3"/>
    <w:basedOn w:val="71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8" w:customStyle="1">
    <w:name w:val="Grid Table 6 Colorful - Accent 4"/>
    <w:basedOn w:val="71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9" w:customStyle="1">
    <w:name w:val="Grid Table 6 Colorful - Accent 5"/>
    <w:basedOn w:val="713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0" w:customStyle="1">
    <w:name w:val="Grid Table 6 Colorful - Accent 6"/>
    <w:basedOn w:val="713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 w:customStyle="1">
    <w:name w:val="Таблица-сетка 7 цветная1"/>
    <w:basedOn w:val="713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1"/>
    <w:basedOn w:val="713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2"/>
    <w:basedOn w:val="71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3"/>
    <w:basedOn w:val="71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Grid Table 7 Colorful - Accent 4"/>
    <w:basedOn w:val="71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Grid Table 7 Colorful - Accent 5"/>
    <w:basedOn w:val="713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Grid Table 7 Colorful - Accent 6"/>
    <w:basedOn w:val="713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Список-таблица 1 светлая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1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2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3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4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5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6"/>
    <w:basedOn w:val="71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Список-таблица 21"/>
    <w:basedOn w:val="713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1"/>
    <w:basedOn w:val="713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2"/>
    <w:basedOn w:val="713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3"/>
    <w:basedOn w:val="71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4"/>
    <w:basedOn w:val="713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5"/>
    <w:basedOn w:val="713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6"/>
    <w:basedOn w:val="713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2" w:customStyle="1">
    <w:name w:val="Список-таблица 31"/>
    <w:basedOn w:val="71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1"/>
    <w:basedOn w:val="713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2"/>
    <w:basedOn w:val="71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3"/>
    <w:basedOn w:val="71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4"/>
    <w:basedOn w:val="71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5"/>
    <w:basedOn w:val="71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6"/>
    <w:basedOn w:val="71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Список-таблица 41"/>
    <w:basedOn w:val="71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1"/>
    <w:basedOn w:val="713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2"/>
    <w:basedOn w:val="713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3"/>
    <w:basedOn w:val="71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4"/>
    <w:basedOn w:val="713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5"/>
    <w:basedOn w:val="713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6"/>
    <w:basedOn w:val="713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Список-таблица 5 темная1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1"/>
    <w:basedOn w:val="713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2"/>
    <w:basedOn w:val="71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3"/>
    <w:basedOn w:val="71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4"/>
    <w:basedOn w:val="71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5"/>
    <w:basedOn w:val="71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6"/>
    <w:basedOn w:val="71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Список-таблица 6 цветная1"/>
    <w:basedOn w:val="71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4" w:customStyle="1">
    <w:name w:val="List Table 6 Colorful - Accent 1"/>
    <w:basedOn w:val="713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5" w:customStyle="1">
    <w:name w:val="List Table 6 Colorful - Accent 2"/>
    <w:basedOn w:val="71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6" w:customStyle="1">
    <w:name w:val="List Table 6 Colorful - Accent 3"/>
    <w:basedOn w:val="71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7" w:customStyle="1">
    <w:name w:val="List Table 6 Colorful - Accent 4"/>
    <w:basedOn w:val="71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8" w:customStyle="1">
    <w:name w:val="List Table 6 Colorful - Accent 5"/>
    <w:basedOn w:val="71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9" w:customStyle="1">
    <w:name w:val="List Table 6 Colorful - Accent 6"/>
    <w:basedOn w:val="71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0" w:customStyle="1">
    <w:name w:val="Список-таблица 7 цветная1"/>
    <w:basedOn w:val="713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1"/>
    <w:basedOn w:val="713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2"/>
    <w:basedOn w:val="713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3"/>
    <w:basedOn w:val="71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st Table 7 Colorful - Accent 4"/>
    <w:basedOn w:val="713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5" w:customStyle="1">
    <w:name w:val="List Table 7 Colorful - Accent 5"/>
    <w:basedOn w:val="713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6" w:customStyle="1">
    <w:name w:val="List Table 7 Colorful - Accent 6"/>
    <w:basedOn w:val="713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7" w:customStyle="1">
    <w:name w:val="Lined - Accent"/>
    <w:basedOn w:val="71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8" w:customStyle="1">
    <w:name w:val="Lined - Accent 1"/>
    <w:basedOn w:val="71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9" w:customStyle="1">
    <w:name w:val="Lined - Accent 2"/>
    <w:basedOn w:val="71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0" w:customStyle="1">
    <w:name w:val="Lined - Accent 3"/>
    <w:basedOn w:val="71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1" w:customStyle="1">
    <w:name w:val="Lined - Accent 4"/>
    <w:basedOn w:val="71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2" w:customStyle="1">
    <w:name w:val="Lined - Accent 5"/>
    <w:basedOn w:val="71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3" w:customStyle="1">
    <w:name w:val="Lined - Accent 6"/>
    <w:basedOn w:val="71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4" w:customStyle="1">
    <w:name w:val="Bordered &amp; Lined - Accent"/>
    <w:basedOn w:val="71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Bordered &amp; Lined - Accent 1"/>
    <w:basedOn w:val="71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Bordered &amp; Lined - Accent 2"/>
    <w:basedOn w:val="71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Bordered &amp; Lined - Accent 3"/>
    <w:basedOn w:val="71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Bordered &amp; Lined - Accent 4"/>
    <w:basedOn w:val="71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Bordered &amp; Lined - Accent 5"/>
    <w:basedOn w:val="71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Bordered &amp; Lined - Accent 6"/>
    <w:basedOn w:val="71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"/>
    <w:basedOn w:val="713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2" w:customStyle="1">
    <w:name w:val="Bordered - Accent 1"/>
    <w:basedOn w:val="713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3" w:customStyle="1">
    <w:name w:val="Bordered - Accent 2"/>
    <w:basedOn w:val="713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4" w:customStyle="1">
    <w:name w:val="Bordered - Accent 3"/>
    <w:basedOn w:val="71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5" w:customStyle="1">
    <w:name w:val="Bordered - Accent 4"/>
    <w:basedOn w:val="713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6" w:customStyle="1">
    <w:name w:val="Bordered - Accent 5"/>
    <w:basedOn w:val="713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7" w:customStyle="1">
    <w:name w:val="Bordered - Accent 6"/>
    <w:basedOn w:val="713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8">
    <w:name w:val="footnote text"/>
    <w:basedOn w:val="711"/>
    <w:link w:val="949"/>
    <w:uiPriority w:val="99"/>
    <w:semiHidden/>
    <w:unhideWhenUsed/>
    <w:pPr>
      <w:spacing w:after="40" w:line="240" w:lineRule="auto"/>
    </w:pPr>
    <w:rPr>
      <w:sz w:val="18"/>
    </w:rPr>
  </w:style>
  <w:style w:type="character" w:styleId="949" w:customStyle="1">
    <w:name w:val="Текст сноски Знак"/>
    <w:link w:val="948"/>
    <w:uiPriority w:val="99"/>
    <w:rPr>
      <w:sz w:val="18"/>
    </w:rPr>
  </w:style>
  <w:style w:type="character" w:styleId="950">
    <w:name w:val="footnote reference"/>
    <w:basedOn w:val="712"/>
    <w:uiPriority w:val="99"/>
    <w:unhideWhenUsed/>
    <w:rPr>
      <w:vertAlign w:val="superscript"/>
    </w:rPr>
  </w:style>
  <w:style w:type="paragraph" w:styleId="951">
    <w:name w:val="endnote text"/>
    <w:basedOn w:val="711"/>
    <w:link w:val="952"/>
    <w:uiPriority w:val="99"/>
    <w:semiHidden/>
    <w:unhideWhenUsed/>
    <w:pPr>
      <w:spacing w:after="0" w:line="240" w:lineRule="auto"/>
    </w:pPr>
    <w:rPr>
      <w:sz w:val="20"/>
    </w:rPr>
  </w:style>
  <w:style w:type="character" w:styleId="952" w:customStyle="1">
    <w:name w:val="Текст концевой сноски Знак"/>
    <w:link w:val="951"/>
    <w:uiPriority w:val="99"/>
    <w:rPr>
      <w:sz w:val="20"/>
    </w:rPr>
  </w:style>
  <w:style w:type="character" w:styleId="953">
    <w:name w:val="endnote reference"/>
    <w:basedOn w:val="712"/>
    <w:uiPriority w:val="99"/>
    <w:semiHidden/>
    <w:unhideWhenUsed/>
    <w:rPr>
      <w:vertAlign w:val="superscript"/>
    </w:rPr>
  </w:style>
  <w:style w:type="paragraph" w:styleId="954">
    <w:name w:val="toc 1"/>
    <w:basedOn w:val="711"/>
    <w:next w:val="711"/>
    <w:uiPriority w:val="39"/>
    <w:unhideWhenUsed/>
    <w:pPr>
      <w:spacing w:after="57"/>
    </w:pPr>
  </w:style>
  <w:style w:type="paragraph" w:styleId="955">
    <w:name w:val="toc 2"/>
    <w:basedOn w:val="711"/>
    <w:next w:val="711"/>
    <w:uiPriority w:val="39"/>
    <w:unhideWhenUsed/>
    <w:pPr>
      <w:ind w:left="283"/>
      <w:spacing w:after="57"/>
    </w:pPr>
  </w:style>
  <w:style w:type="paragraph" w:styleId="956">
    <w:name w:val="toc 3"/>
    <w:basedOn w:val="711"/>
    <w:next w:val="711"/>
    <w:uiPriority w:val="39"/>
    <w:unhideWhenUsed/>
    <w:pPr>
      <w:ind w:left="567"/>
      <w:spacing w:after="57"/>
    </w:pPr>
  </w:style>
  <w:style w:type="paragraph" w:styleId="957">
    <w:name w:val="toc 4"/>
    <w:basedOn w:val="711"/>
    <w:next w:val="711"/>
    <w:uiPriority w:val="39"/>
    <w:unhideWhenUsed/>
    <w:pPr>
      <w:ind w:left="850"/>
      <w:spacing w:after="57"/>
    </w:pPr>
  </w:style>
  <w:style w:type="paragraph" w:styleId="958">
    <w:name w:val="toc 5"/>
    <w:basedOn w:val="711"/>
    <w:next w:val="711"/>
    <w:uiPriority w:val="39"/>
    <w:unhideWhenUsed/>
    <w:pPr>
      <w:ind w:left="1134"/>
      <w:spacing w:after="57"/>
    </w:pPr>
  </w:style>
  <w:style w:type="paragraph" w:styleId="959">
    <w:name w:val="toc 6"/>
    <w:basedOn w:val="711"/>
    <w:next w:val="711"/>
    <w:uiPriority w:val="39"/>
    <w:unhideWhenUsed/>
    <w:pPr>
      <w:ind w:left="1417"/>
      <w:spacing w:after="57"/>
    </w:pPr>
  </w:style>
  <w:style w:type="paragraph" w:styleId="960">
    <w:name w:val="toc 7"/>
    <w:basedOn w:val="711"/>
    <w:next w:val="711"/>
    <w:uiPriority w:val="39"/>
    <w:unhideWhenUsed/>
    <w:pPr>
      <w:ind w:left="1701"/>
      <w:spacing w:after="57"/>
    </w:pPr>
  </w:style>
  <w:style w:type="paragraph" w:styleId="961">
    <w:name w:val="toc 8"/>
    <w:basedOn w:val="711"/>
    <w:next w:val="711"/>
    <w:uiPriority w:val="39"/>
    <w:unhideWhenUsed/>
    <w:pPr>
      <w:ind w:left="1984"/>
      <w:spacing w:after="57"/>
    </w:pPr>
  </w:style>
  <w:style w:type="paragraph" w:styleId="962">
    <w:name w:val="toc 9"/>
    <w:basedOn w:val="711"/>
    <w:next w:val="711"/>
    <w:uiPriority w:val="39"/>
    <w:unhideWhenUsed/>
    <w:pPr>
      <w:ind w:left="2268"/>
      <w:spacing w:after="57"/>
    </w:pPr>
  </w:style>
  <w:style w:type="paragraph" w:styleId="963">
    <w:name w:val="TOC Heading"/>
    <w:uiPriority w:val="39"/>
    <w:unhideWhenUsed/>
  </w:style>
  <w:style w:type="paragraph" w:styleId="964">
    <w:name w:val="table of figures"/>
    <w:basedOn w:val="711"/>
    <w:next w:val="711"/>
    <w:uiPriority w:val="99"/>
    <w:unhideWhenUsed/>
    <w:pPr>
      <w:spacing w:after="0"/>
    </w:pPr>
  </w:style>
  <w:style w:type="paragraph" w:styleId="96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66">
    <w:name w:val="Body Text"/>
    <w:basedOn w:val="711"/>
    <w:link w:val="967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67" w:customStyle="1">
    <w:name w:val="Основной текст Знак"/>
    <w:basedOn w:val="712"/>
    <w:link w:val="966"/>
    <w:uiPriority w:val="99"/>
    <w:rPr>
      <w:rFonts w:ascii="Times New Roman" w:hAnsi="Times New Roman" w:cs="Times New Roman"/>
      <w:sz w:val="24"/>
    </w:rPr>
  </w:style>
  <w:style w:type="paragraph" w:styleId="968">
    <w:name w:val="Balloon Text"/>
    <w:basedOn w:val="711"/>
    <w:link w:val="96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69" w:customStyle="1">
    <w:name w:val="Текст выноски Знак"/>
    <w:basedOn w:val="712"/>
    <w:link w:val="968"/>
    <w:uiPriority w:val="99"/>
    <w:semiHidden/>
    <w:rPr>
      <w:rFonts w:ascii="Tahoma" w:hAnsi="Tahoma" w:cs="Times New Roman"/>
      <w:sz w:val="16"/>
      <w:lang w:eastAsia="en-US"/>
    </w:rPr>
  </w:style>
  <w:style w:type="paragraph" w:styleId="970" w:customStyle="1">
    <w:name w:val="Верхний колонтитул1"/>
    <w:basedOn w:val="711"/>
    <w:link w:val="9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71" w:customStyle="1">
    <w:name w:val="Верхний колонтитул Знак"/>
    <w:basedOn w:val="712"/>
    <w:link w:val="970"/>
    <w:uiPriority w:val="99"/>
    <w:rPr>
      <w:rFonts w:cs="Times New Roman"/>
      <w:sz w:val="22"/>
      <w:lang w:eastAsia="en-US"/>
    </w:rPr>
  </w:style>
  <w:style w:type="paragraph" w:styleId="972" w:customStyle="1">
    <w:name w:val="Нижний колонтитул1"/>
    <w:basedOn w:val="711"/>
    <w:link w:val="97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73" w:customStyle="1">
    <w:name w:val="Нижний колонтитул Знак"/>
    <w:basedOn w:val="712"/>
    <w:link w:val="972"/>
    <w:uiPriority w:val="99"/>
    <w:rPr>
      <w:rFonts w:cs="Times New Roman"/>
      <w:sz w:val="22"/>
      <w:lang w:eastAsia="en-US"/>
    </w:rPr>
  </w:style>
  <w:style w:type="paragraph" w:styleId="974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75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76">
    <w:name w:val="annotation reference"/>
    <w:basedOn w:val="712"/>
    <w:uiPriority w:val="99"/>
    <w:semiHidden/>
    <w:unhideWhenUsed/>
    <w:rPr>
      <w:rFonts w:cs="Times New Roman"/>
      <w:sz w:val="16"/>
      <w:szCs w:val="16"/>
    </w:rPr>
  </w:style>
  <w:style w:type="paragraph" w:styleId="977">
    <w:name w:val="annotation text"/>
    <w:basedOn w:val="711"/>
    <w:link w:val="97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78" w:customStyle="1">
    <w:name w:val="Текст примечания Знак"/>
    <w:basedOn w:val="712"/>
    <w:link w:val="977"/>
    <w:uiPriority w:val="99"/>
    <w:semiHidden/>
    <w:rPr>
      <w:rFonts w:cs="Times New Roman"/>
      <w:lang w:eastAsia="en-US"/>
    </w:rPr>
  </w:style>
  <w:style w:type="paragraph" w:styleId="979">
    <w:name w:val="annotation subject"/>
    <w:basedOn w:val="977"/>
    <w:next w:val="977"/>
    <w:link w:val="980"/>
    <w:uiPriority w:val="99"/>
    <w:semiHidden/>
    <w:unhideWhenUsed/>
    <w:rPr>
      <w:b/>
      <w:bCs/>
    </w:rPr>
  </w:style>
  <w:style w:type="character" w:styleId="980" w:customStyle="1">
    <w:name w:val="Тема примечания Знак"/>
    <w:basedOn w:val="978"/>
    <w:link w:val="979"/>
    <w:uiPriority w:val="99"/>
    <w:semiHidden/>
    <w:rPr>
      <w:rFonts w:cs="Times New Roman"/>
      <w:b/>
      <w:bCs/>
      <w:lang w:eastAsia="en-US"/>
    </w:rPr>
  </w:style>
  <w:style w:type="paragraph" w:styleId="981">
    <w:name w:val="List Paragraph"/>
    <w:basedOn w:val="711"/>
    <w:uiPriority w:val="34"/>
    <w:qFormat/>
    <w:pPr>
      <w:contextualSpacing/>
      <w:ind w:left="720"/>
    </w:pPr>
  </w:style>
  <w:style w:type="table" w:styleId="982">
    <w:name w:val="Table Grid"/>
    <w:basedOn w:val="713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83" w:customStyle="1">
    <w:name w:val="ConsPlusTitle"/>
    <w:pPr>
      <w:widowControl w:val="off"/>
    </w:pPr>
    <w:rPr>
      <w:b/>
      <w:sz w:val="22"/>
    </w:rPr>
  </w:style>
  <w:style w:type="character" w:styleId="984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85" w:customStyle="1">
    <w:name w:val="search_result"/>
    <w:basedOn w:val="712"/>
  </w:style>
  <w:style w:type="character" w:styleId="986">
    <w:name w:val="Hyperlink"/>
    <w:basedOn w:val="712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469787" TargetMode="External"/><Relationship Id="rId12" Type="http://schemas.openxmlformats.org/officeDocument/2006/relationships/hyperlink" Target="https://login.consultant.ru/link/?req=doc&amp;base=LAW&amp;n=511107&amp;dst=100310" TargetMode="External"/><Relationship Id="rId13" Type="http://schemas.onlyoffice.com/commentsDocument" Target="commentsDocument.xml" /><Relationship Id="rId14" Type="http://schemas.onlyoffice.com/commentsExtendedDocument" Target="commentsExtendedDocument.xml" /><Relationship Id="rId15" Type="http://schemas.onlyoffice.com/commentsIdsDocument" Target="commentsIds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A758F5-C118-43D4-AFF8-791E0B9BD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yasana@nso.ru</cp:lastModifiedBy>
  <cp:revision>6</cp:revision>
  <dcterms:created xsi:type="dcterms:W3CDTF">2026-05-08T06:57:00Z</dcterms:created>
  <dcterms:modified xsi:type="dcterms:W3CDTF">2026-05-12T08:12:36Z</dcterms:modified>
</cp:coreProperties>
</file>